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406DFC" w:rsidP="003D035A">
      <w:pPr>
        <w:rPr>
          <w:rFonts w:ascii="Arial" w:hAnsi="Arial" w:cs="Arial"/>
          <w:sz w:val="22"/>
          <w:szCs w:val="22"/>
          <w:lang w:val="en-GB"/>
        </w:rPr>
      </w:pPr>
      <w:r>
        <w:rPr>
          <w:rFonts w:ascii="Arial" w:hAnsi="Arial" w:cs="Arial"/>
          <w:sz w:val="22"/>
          <w:szCs w:val="22"/>
          <w:lang w:val="en-GB"/>
        </w:rPr>
        <w:t>09</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August</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406DFC" w:rsidP="00ED64D8">
      <w:pPr>
        <w:pStyle w:val="Default"/>
        <w:rPr>
          <w:rFonts w:ascii="Arial" w:hAnsi="Arial" w:cs="Arial"/>
          <w:b/>
          <w:sz w:val="22"/>
          <w:szCs w:val="22"/>
          <w:lang w:val="en-GB"/>
        </w:rPr>
      </w:pPr>
      <w:r>
        <w:rPr>
          <w:rFonts w:ascii="Arial" w:hAnsi="Arial" w:cs="Arial"/>
          <w:b/>
          <w:sz w:val="22"/>
          <w:szCs w:val="22"/>
          <w:lang w:val="en-GB"/>
        </w:rPr>
        <w:t>YOKOHAMA</w:t>
      </w:r>
      <w:r w:rsidRPr="00406DFC">
        <w:rPr>
          <w:rFonts w:ascii="Arial" w:hAnsi="Arial" w:cs="Arial"/>
          <w:b/>
          <w:sz w:val="22"/>
          <w:szCs w:val="22"/>
          <w:lang w:val="en-GB"/>
        </w:rPr>
        <w:t xml:space="preserve"> Now Included in Three ESG Stock Indexes</w:t>
      </w:r>
    </w:p>
    <w:p w:rsidR="00406DFC" w:rsidRPr="00406DFC" w:rsidRDefault="00406DFC" w:rsidP="00ED64D8">
      <w:pPr>
        <w:pStyle w:val="Default"/>
        <w:rPr>
          <w:rFonts w:ascii="Arial" w:hAnsi="Arial" w:cs="Arial"/>
          <w:b/>
          <w:sz w:val="22"/>
          <w:szCs w:val="22"/>
          <w:lang w:val="en-GB"/>
        </w:rPr>
      </w:pPr>
    </w:p>
    <w:p w:rsidR="00406DFC" w:rsidRPr="00406DFC" w:rsidRDefault="00406DFC" w:rsidP="00406DFC">
      <w:pPr>
        <w:pStyle w:val="NurText"/>
        <w:rPr>
          <w:sz w:val="22"/>
          <w:szCs w:val="22"/>
          <w:lang w:val="en-GB"/>
        </w:rPr>
      </w:pPr>
      <w:r>
        <w:rPr>
          <w:sz w:val="22"/>
          <w:szCs w:val="22"/>
          <w:lang w:val="en-GB"/>
        </w:rPr>
        <w:t xml:space="preserve">Yokohama Rubber </w:t>
      </w:r>
      <w:r w:rsidRPr="00406DFC">
        <w:rPr>
          <w:sz w:val="22"/>
          <w:szCs w:val="22"/>
          <w:lang w:val="en-GB"/>
        </w:rPr>
        <w:t xml:space="preserve">is proud to announce that its stock has been selected for inclusion in three stock indexes focused on stocks of companies demonstrating strong Environmental, Social, and Governance (ESG) practices. In addition to the FTSE Russell*1 FTSE4Good Index, which it has been a component of for 13 consecutive years, Yokohama Rubber has been newly included in FTSE Russell’s FTSE Blossom Japan Index and MSCI Inc.’s*2 MSCI Japan ESG Select Leaders Index. </w:t>
      </w:r>
    </w:p>
    <w:p w:rsidR="00406DFC" w:rsidRPr="00406DFC" w:rsidRDefault="00406DFC" w:rsidP="00406DFC">
      <w:pPr>
        <w:pStyle w:val="NurText"/>
        <w:rPr>
          <w:sz w:val="22"/>
          <w:szCs w:val="22"/>
          <w:lang w:val="en-GB"/>
        </w:rPr>
      </w:pPr>
    </w:p>
    <w:p w:rsidR="00406DFC" w:rsidRPr="00406DFC" w:rsidRDefault="00406DFC" w:rsidP="00406DFC">
      <w:pPr>
        <w:pStyle w:val="NurText"/>
        <w:rPr>
          <w:sz w:val="22"/>
          <w:szCs w:val="22"/>
          <w:lang w:val="en-GB"/>
        </w:rPr>
      </w:pPr>
      <w:r w:rsidRPr="00406DFC">
        <w:rPr>
          <w:sz w:val="22"/>
          <w:szCs w:val="22"/>
          <w:lang w:val="en-GB"/>
        </w:rPr>
        <w:t xml:space="preserve">The FTSE4Good Index is used by investors around the world as a benchmark index for their ESG-focused investments. As of June 2017, the index included stocks of 883 companies, of which 148 are Japanese companies. The FTSE Blossom Japan Index was established as an industry-neutral index that reflects the performance of Japanese companies that demonstrate strong ESG practices; the index included 151 companies as of June 2017. The MSCI Japan ESG Select Leaders Index is composed of 251 companies (as of June 2017) selected for their superior ESG performance from among the companies included in the MSCI Japan IMI Top 500 Index, which comprises Japan’s 500 largest listed stocks by market capitalization. </w:t>
      </w:r>
    </w:p>
    <w:p w:rsidR="00406DFC" w:rsidRPr="00406DFC" w:rsidRDefault="00406DFC" w:rsidP="00406DFC">
      <w:pPr>
        <w:pStyle w:val="NurText"/>
        <w:rPr>
          <w:sz w:val="22"/>
          <w:szCs w:val="22"/>
          <w:lang w:val="en-GB"/>
        </w:rPr>
      </w:pPr>
    </w:p>
    <w:p w:rsidR="00406DFC" w:rsidRPr="00406DFC" w:rsidRDefault="00406DFC" w:rsidP="00406DFC">
      <w:pPr>
        <w:pStyle w:val="NurText"/>
        <w:rPr>
          <w:sz w:val="22"/>
          <w:szCs w:val="22"/>
          <w:lang w:val="en-GB"/>
        </w:rPr>
      </w:pPr>
      <w:r w:rsidRPr="00406DFC">
        <w:rPr>
          <w:sz w:val="22"/>
          <w:szCs w:val="22"/>
          <w:lang w:val="en-GB"/>
        </w:rPr>
        <w:t xml:space="preserve">The FTSE Blossom Japan Index and MSCI Japan ESG Select Leaders Index are two of three ESG-focused indexes adopted on </w:t>
      </w:r>
      <w:r w:rsidR="00A871F7">
        <w:rPr>
          <w:sz w:val="22"/>
          <w:szCs w:val="22"/>
          <w:lang w:val="en-GB"/>
        </w:rPr>
        <w:t>3</w:t>
      </w:r>
      <w:r w:rsidR="00A871F7" w:rsidRPr="00A871F7">
        <w:rPr>
          <w:sz w:val="22"/>
          <w:szCs w:val="22"/>
          <w:vertAlign w:val="superscript"/>
          <w:lang w:val="en-GB"/>
        </w:rPr>
        <w:t>rd</w:t>
      </w:r>
      <w:r w:rsidR="00A871F7">
        <w:rPr>
          <w:sz w:val="22"/>
          <w:szCs w:val="22"/>
          <w:lang w:val="en-GB"/>
        </w:rPr>
        <w:t xml:space="preserve"> July</w:t>
      </w:r>
      <w:r w:rsidRPr="00406DFC">
        <w:rPr>
          <w:sz w:val="22"/>
          <w:szCs w:val="22"/>
          <w:lang w:val="en-GB"/>
        </w:rPr>
        <w:t xml:space="preserve"> 2017, by Japan’s Government Pension Investment Fund (GPIF).</w:t>
      </w:r>
    </w:p>
    <w:p w:rsidR="00406DFC" w:rsidRPr="00406DFC" w:rsidRDefault="00406DFC" w:rsidP="00406DFC">
      <w:pPr>
        <w:pStyle w:val="NurText"/>
        <w:rPr>
          <w:sz w:val="22"/>
          <w:szCs w:val="22"/>
          <w:lang w:val="en-GB"/>
        </w:rPr>
      </w:pPr>
    </w:p>
    <w:p w:rsidR="00406DFC" w:rsidRPr="00406DFC" w:rsidRDefault="00406DFC" w:rsidP="00406DFC">
      <w:pPr>
        <w:pStyle w:val="NurText"/>
        <w:rPr>
          <w:sz w:val="22"/>
          <w:szCs w:val="22"/>
          <w:lang w:val="en-GB"/>
        </w:rPr>
      </w:pPr>
      <w:r w:rsidRPr="00406DFC">
        <w:rPr>
          <w:sz w:val="22"/>
          <w:szCs w:val="22"/>
          <w:lang w:val="en-GB"/>
        </w:rPr>
        <w:t>Yokohama Rubber has been promoting the growth of its business with a strong emphasis on CSR since implementing its “Grand Design 100” medium-term management plan in 2006. Two of this plan's basic policies are to “Assert world-class strengths in technologies for protecting the environment” and “Foster a customer-oriented corporate culture that hono</w:t>
      </w:r>
      <w:r w:rsidR="00A871F7">
        <w:rPr>
          <w:sz w:val="22"/>
          <w:szCs w:val="22"/>
          <w:lang w:val="en-GB"/>
        </w:rPr>
        <w:t>u</w:t>
      </w:r>
      <w:r w:rsidRPr="00406DFC">
        <w:rPr>
          <w:sz w:val="22"/>
          <w:szCs w:val="22"/>
          <w:lang w:val="en-GB"/>
        </w:rPr>
        <w:t>rs rigorous standards of corporate ethics.”</w:t>
      </w:r>
    </w:p>
    <w:p w:rsidR="00406DFC" w:rsidRPr="00406DFC" w:rsidRDefault="00406DFC" w:rsidP="00406DFC">
      <w:pPr>
        <w:pStyle w:val="NurText"/>
        <w:rPr>
          <w:sz w:val="22"/>
          <w:szCs w:val="22"/>
          <w:lang w:val="en-GB"/>
        </w:rPr>
      </w:pPr>
    </w:p>
    <w:p w:rsidR="00406DFC" w:rsidRPr="00406DFC" w:rsidRDefault="00406DFC" w:rsidP="00406DFC">
      <w:pPr>
        <w:pStyle w:val="NurText"/>
        <w:rPr>
          <w:sz w:val="22"/>
          <w:szCs w:val="22"/>
          <w:lang w:val="en-GB"/>
        </w:rPr>
      </w:pPr>
      <w:r w:rsidRPr="00406DFC">
        <w:rPr>
          <w:sz w:val="22"/>
          <w:szCs w:val="22"/>
          <w:lang w:val="en-GB"/>
        </w:rPr>
        <w:t>*1: A wholly owned subsidiary of the London Stock Exchange Group, FTSE Russell is a major global index provider engaged in the creation and administrative of investment-oriented indexes.</w:t>
      </w:r>
    </w:p>
    <w:p w:rsidR="00406DFC" w:rsidRDefault="00406DFC" w:rsidP="00406DFC">
      <w:pPr>
        <w:pStyle w:val="NurText"/>
        <w:rPr>
          <w:sz w:val="22"/>
          <w:szCs w:val="22"/>
        </w:rPr>
      </w:pPr>
      <w:r w:rsidRPr="00406DFC">
        <w:rPr>
          <w:sz w:val="22"/>
          <w:szCs w:val="22"/>
          <w:lang w:val="en-GB"/>
        </w:rPr>
        <w:t xml:space="preserve">*2: A US company providing research-based indexes and portfolio analysis to the world’s leading investors. </w:t>
      </w:r>
      <w:r w:rsidRPr="00406DFC">
        <w:rPr>
          <w:sz w:val="22"/>
          <w:szCs w:val="22"/>
        </w:rPr>
        <w:t xml:space="preserve">Also, </w:t>
      </w:r>
      <w:proofErr w:type="spellStart"/>
      <w:r w:rsidRPr="00406DFC">
        <w:rPr>
          <w:sz w:val="22"/>
          <w:szCs w:val="22"/>
        </w:rPr>
        <w:t>the</w:t>
      </w:r>
      <w:proofErr w:type="spellEnd"/>
      <w:r w:rsidRPr="00406DFC">
        <w:rPr>
          <w:sz w:val="22"/>
          <w:szCs w:val="22"/>
        </w:rPr>
        <w:t xml:space="preserve"> </w:t>
      </w:r>
      <w:proofErr w:type="spellStart"/>
      <w:r w:rsidRPr="00406DFC">
        <w:rPr>
          <w:sz w:val="22"/>
          <w:szCs w:val="22"/>
        </w:rPr>
        <w:t>world</w:t>
      </w:r>
      <w:proofErr w:type="spellEnd"/>
      <w:r w:rsidRPr="00406DFC">
        <w:rPr>
          <w:sz w:val="22"/>
          <w:szCs w:val="22"/>
        </w:rPr>
        <w:t xml:space="preserve"> </w:t>
      </w:r>
      <w:proofErr w:type="spellStart"/>
      <w:r w:rsidRPr="00406DFC">
        <w:rPr>
          <w:sz w:val="22"/>
          <w:szCs w:val="22"/>
        </w:rPr>
        <w:t>leader</w:t>
      </w:r>
      <w:proofErr w:type="spellEnd"/>
      <w:r w:rsidRPr="00406DFC">
        <w:rPr>
          <w:sz w:val="22"/>
          <w:szCs w:val="22"/>
        </w:rPr>
        <w:t xml:space="preserve"> in ESG </w:t>
      </w:r>
      <w:proofErr w:type="spellStart"/>
      <w:r w:rsidRPr="00406DFC">
        <w:rPr>
          <w:sz w:val="22"/>
          <w:szCs w:val="22"/>
        </w:rPr>
        <w:t>research</w:t>
      </w:r>
      <w:proofErr w:type="spellEnd"/>
      <w:r w:rsidRPr="00406DFC">
        <w:rPr>
          <w:sz w:val="22"/>
          <w:szCs w:val="22"/>
        </w:rPr>
        <w:t>.</w:t>
      </w:r>
      <w:bookmarkStart w:id="0" w:name="_GoBack"/>
      <w:bookmarkEnd w:id="0"/>
    </w:p>
    <w:p w:rsidR="00A871F7" w:rsidRDefault="00A871F7" w:rsidP="00406DFC">
      <w:pPr>
        <w:pStyle w:val="NurText"/>
        <w:rPr>
          <w:sz w:val="22"/>
          <w:szCs w:val="22"/>
        </w:rPr>
      </w:pPr>
    </w:p>
    <w:p w:rsidR="00A871F7" w:rsidRPr="00406DFC" w:rsidRDefault="00A871F7" w:rsidP="00406DFC">
      <w:pPr>
        <w:pStyle w:val="NurText"/>
        <w:rPr>
          <w:sz w:val="22"/>
          <w:szCs w:val="22"/>
        </w:rPr>
      </w:pPr>
    </w:p>
    <w:p w:rsidR="00444C90" w:rsidRPr="00444C90" w:rsidRDefault="00444C90" w:rsidP="00406DFC">
      <w:pPr>
        <w:rPr>
          <w:rFonts w:ascii="Arial" w:hAnsi="Arial" w:cs="Arial"/>
          <w:i/>
          <w:sz w:val="16"/>
          <w:szCs w:val="16"/>
        </w:rPr>
      </w:pPr>
    </w:p>
    <w:sectPr w:rsidR="00444C90" w:rsidRPr="00444C9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337" w:rsidRDefault="00FE4337" w:rsidP="00B25742">
      <w:r>
        <w:separator/>
      </w:r>
    </w:p>
  </w:endnote>
  <w:endnote w:type="continuationSeparator" w:id="0">
    <w:p w:rsidR="00FE4337" w:rsidRDefault="00FE433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A871F7">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337" w:rsidRDefault="00FE4337" w:rsidP="00B25742">
      <w:r>
        <w:separator/>
      </w:r>
    </w:p>
  </w:footnote>
  <w:footnote w:type="continuationSeparator" w:id="0">
    <w:p w:rsidR="00FE4337" w:rsidRDefault="00FE4337"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871F7">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06DFC"/>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871F7"/>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56A0EA"/>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6564582">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322</Words>
  <Characters>1837</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2017-08-09T07:39:00Z</dcterms:created>
  <dcterms:modified xsi:type="dcterms:W3CDTF">2017-08-09T07:39:00Z</dcterms:modified>
</cp:coreProperties>
</file>